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A2C0" w14:textId="6A021A71" w:rsidR="00785D3F" w:rsidRPr="00274A60" w:rsidRDefault="00640CEC" w:rsidP="00274A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E71FCF">
        <w:rPr>
          <w:rFonts w:ascii="Arial" w:hAnsi="Arial" w:cs="Arial"/>
          <w:b/>
          <w:bCs/>
          <w:i/>
          <w:iCs/>
          <w:sz w:val="32"/>
          <w:szCs w:val="32"/>
        </w:rPr>
        <w:t xml:space="preserve">Arcia </w:t>
      </w:r>
      <w:r w:rsidR="00DC7D22" w:rsidRPr="00E71FCF">
        <w:rPr>
          <w:rFonts w:ascii="Arial" w:hAnsi="Arial" w:cs="Arial"/>
          <w:b/>
          <w:bCs/>
          <w:i/>
          <w:iCs/>
          <w:sz w:val="32"/>
          <w:szCs w:val="32"/>
        </w:rPr>
        <w:t>Région culturelle</w:t>
      </w:r>
      <w:r w:rsidR="00DC7D22" w:rsidRPr="00E71FCF">
        <w:rPr>
          <w:rFonts w:ascii="Arial" w:hAnsi="Arial" w:cs="Arial"/>
          <w:b/>
          <w:bCs/>
          <w:i/>
          <w:iCs/>
          <w:sz w:val="32"/>
          <w:szCs w:val="32"/>
        </w:rPr>
        <w:br/>
      </w:r>
      <w:r w:rsidR="00DC7D22" w:rsidRPr="00274A60">
        <w:rPr>
          <w:rFonts w:ascii="Arial" w:hAnsi="Arial" w:cs="Arial"/>
          <w:b/>
          <w:bCs/>
          <w:sz w:val="32"/>
          <w:szCs w:val="32"/>
        </w:rPr>
        <w:t xml:space="preserve">Message </w:t>
      </w:r>
      <w:r>
        <w:rPr>
          <w:rFonts w:ascii="Arial" w:hAnsi="Arial" w:cs="Arial"/>
          <w:b/>
          <w:bCs/>
          <w:sz w:val="32"/>
          <w:szCs w:val="32"/>
        </w:rPr>
        <w:t>condensé</w:t>
      </w:r>
      <w:r w:rsidRPr="00274A60">
        <w:rPr>
          <w:rFonts w:ascii="Arial" w:hAnsi="Arial" w:cs="Arial"/>
          <w:b/>
          <w:bCs/>
          <w:sz w:val="32"/>
          <w:szCs w:val="32"/>
        </w:rPr>
        <w:t xml:space="preserve"> </w:t>
      </w:r>
      <w:r w:rsidR="00DC7D22" w:rsidRPr="00274A60">
        <w:rPr>
          <w:rFonts w:ascii="Arial" w:hAnsi="Arial" w:cs="Arial"/>
          <w:b/>
          <w:bCs/>
          <w:sz w:val="32"/>
          <w:szCs w:val="32"/>
        </w:rPr>
        <w:t xml:space="preserve">accompagnant les statuts et le règlement </w:t>
      </w:r>
      <w:r w:rsidR="006670AA" w:rsidRPr="006670AA">
        <w:rPr>
          <w:rFonts w:ascii="Arial" w:hAnsi="Arial" w:cs="Arial"/>
          <w:b/>
          <w:bCs/>
          <w:sz w:val="32"/>
          <w:szCs w:val="32"/>
        </w:rPr>
        <w:t>relatif au soutien régional à la culture</w:t>
      </w:r>
    </w:p>
    <w:p w14:paraId="726876FD" w14:textId="77777777" w:rsidR="00274A60" w:rsidRPr="00E65A2E" w:rsidRDefault="00274A60">
      <w:pPr>
        <w:rPr>
          <w:rFonts w:ascii="Arial" w:hAnsi="Arial" w:cs="Arial"/>
          <w:b/>
          <w:bCs/>
          <w:sz w:val="2"/>
          <w:szCs w:val="2"/>
        </w:rPr>
      </w:pPr>
    </w:p>
    <w:p w14:paraId="5295EFA5" w14:textId="77DA0BB0" w:rsidR="006F72BB" w:rsidRPr="00E65A2E" w:rsidRDefault="00DC7D22" w:rsidP="006670AA">
      <w:pPr>
        <w:rPr>
          <w:rFonts w:ascii="Arial" w:hAnsi="Arial" w:cs="Arial"/>
          <w:sz w:val="20"/>
          <w:szCs w:val="20"/>
        </w:rPr>
      </w:pPr>
      <w:r w:rsidRPr="2F318A3E">
        <w:rPr>
          <w:rFonts w:ascii="Arial" w:hAnsi="Arial" w:cs="Arial"/>
          <w:b/>
          <w:bCs/>
          <w:sz w:val="24"/>
          <w:szCs w:val="24"/>
        </w:rPr>
        <w:t>Contexte</w:t>
      </w:r>
    </w:p>
    <w:p w14:paraId="7242E4F0" w14:textId="07958525" w:rsidR="006F72BB" w:rsidRDefault="00DC7D22">
      <w:pPr>
        <w:rPr>
          <w:rFonts w:ascii="Arial" w:hAnsi="Arial" w:cs="Arial"/>
          <w:sz w:val="20"/>
          <w:szCs w:val="20"/>
        </w:rPr>
      </w:pPr>
      <w:proofErr w:type="gramStart"/>
      <w:r w:rsidRPr="00E65A2E">
        <w:rPr>
          <w:rFonts w:ascii="Arial" w:hAnsi="Arial" w:cs="Arial"/>
          <w:sz w:val="20"/>
          <w:szCs w:val="20"/>
        </w:rPr>
        <w:t>Suite à</w:t>
      </w:r>
      <w:proofErr w:type="gramEnd"/>
      <w:r w:rsidRPr="00E65A2E">
        <w:rPr>
          <w:rFonts w:ascii="Arial" w:hAnsi="Arial" w:cs="Arial"/>
          <w:sz w:val="20"/>
          <w:szCs w:val="20"/>
        </w:rPr>
        <w:t xml:space="preserve"> l’entrée en vigueur de la nouvelle loi sur les agglomérations </w:t>
      </w:r>
      <w:r w:rsidR="00640CEC">
        <w:rPr>
          <w:rFonts w:ascii="Arial" w:hAnsi="Arial" w:cs="Arial"/>
          <w:sz w:val="20"/>
          <w:szCs w:val="20"/>
        </w:rPr>
        <w:t>le</w:t>
      </w:r>
      <w:r w:rsidR="00640CEC" w:rsidRPr="00E65A2E">
        <w:rPr>
          <w:rFonts w:ascii="Arial" w:hAnsi="Arial" w:cs="Arial"/>
          <w:sz w:val="20"/>
          <w:szCs w:val="20"/>
        </w:rPr>
        <w:t xml:space="preserve"> </w:t>
      </w:r>
      <w:r w:rsidRPr="00E65A2E">
        <w:rPr>
          <w:rFonts w:ascii="Arial" w:hAnsi="Arial" w:cs="Arial"/>
          <w:sz w:val="20"/>
          <w:szCs w:val="20"/>
        </w:rPr>
        <w:t>1</w:t>
      </w:r>
      <w:r w:rsidRPr="00E65A2E">
        <w:rPr>
          <w:rFonts w:ascii="Arial" w:hAnsi="Arial" w:cs="Arial"/>
          <w:sz w:val="20"/>
          <w:szCs w:val="20"/>
          <w:vertAlign w:val="superscript"/>
        </w:rPr>
        <w:t>er</w:t>
      </w:r>
      <w:r w:rsidRPr="00E65A2E">
        <w:rPr>
          <w:rFonts w:ascii="Arial" w:hAnsi="Arial" w:cs="Arial"/>
          <w:sz w:val="20"/>
          <w:szCs w:val="20"/>
        </w:rPr>
        <w:t xml:space="preserve"> janvier 2021, l’Agglomération de Fribourg (Agglo) doit être dissoute et ses tâches reprises par d’autres entités. </w:t>
      </w:r>
      <w:r w:rsidR="00C54B74" w:rsidRPr="00E71FCF">
        <w:rPr>
          <w:rFonts w:ascii="Arial" w:hAnsi="Arial" w:cs="Arial"/>
          <w:i/>
          <w:iCs/>
          <w:sz w:val="20"/>
          <w:szCs w:val="20"/>
        </w:rPr>
        <w:t xml:space="preserve">Arcia </w:t>
      </w:r>
      <w:r w:rsidR="00C54B74">
        <w:rPr>
          <w:rFonts w:ascii="Arial" w:hAnsi="Arial" w:cs="Arial"/>
          <w:i/>
          <w:iCs/>
          <w:sz w:val="20"/>
          <w:szCs w:val="20"/>
        </w:rPr>
        <w:t>R</w:t>
      </w:r>
      <w:r w:rsidRPr="00E65A2E">
        <w:rPr>
          <w:rFonts w:ascii="Arial" w:hAnsi="Arial" w:cs="Arial"/>
          <w:i/>
          <w:iCs/>
          <w:sz w:val="20"/>
          <w:szCs w:val="20"/>
        </w:rPr>
        <w:t>égion culturelle</w:t>
      </w:r>
      <w:r w:rsidRPr="00E65A2E">
        <w:rPr>
          <w:rFonts w:ascii="Arial" w:hAnsi="Arial" w:cs="Arial"/>
          <w:sz w:val="20"/>
          <w:szCs w:val="20"/>
        </w:rPr>
        <w:t xml:space="preserve">, imaginée par un Comité de pilotage </w:t>
      </w:r>
      <w:r w:rsidR="0066213F">
        <w:rPr>
          <w:rFonts w:ascii="Arial" w:hAnsi="Arial" w:cs="Arial"/>
          <w:sz w:val="20"/>
          <w:szCs w:val="20"/>
        </w:rPr>
        <w:t>présidé par la Préfète de la Sarine</w:t>
      </w:r>
      <w:r w:rsidRPr="00E65A2E">
        <w:rPr>
          <w:rFonts w:ascii="Arial" w:hAnsi="Arial" w:cs="Arial"/>
          <w:sz w:val="20"/>
          <w:szCs w:val="20"/>
        </w:rPr>
        <w:t>, a pour but de reprendre les tâches liées à la promotion culturelle ainsi que les missions de Coriolis Infrastructures</w:t>
      </w:r>
      <w:r w:rsidR="00C54B74">
        <w:rPr>
          <w:rFonts w:ascii="Arial" w:hAnsi="Arial" w:cs="Arial"/>
          <w:sz w:val="20"/>
          <w:szCs w:val="20"/>
        </w:rPr>
        <w:t>,</w:t>
      </w:r>
      <w:r w:rsidRPr="00E65A2E">
        <w:rPr>
          <w:rFonts w:ascii="Arial" w:hAnsi="Arial" w:cs="Arial"/>
          <w:sz w:val="20"/>
          <w:szCs w:val="20"/>
        </w:rPr>
        <w:t xml:space="preserve"> afin de créer </w:t>
      </w:r>
      <w:r w:rsidR="006F72BB" w:rsidRPr="00E65A2E">
        <w:rPr>
          <w:rFonts w:ascii="Arial" w:hAnsi="Arial" w:cs="Arial"/>
          <w:sz w:val="20"/>
          <w:szCs w:val="20"/>
        </w:rPr>
        <w:t>une entité dédiée</w:t>
      </w:r>
      <w:r w:rsidRPr="00E65A2E">
        <w:rPr>
          <w:rFonts w:ascii="Arial" w:hAnsi="Arial" w:cs="Arial"/>
          <w:sz w:val="20"/>
          <w:szCs w:val="20"/>
        </w:rPr>
        <w:t xml:space="preserve"> à la culture régionale. </w:t>
      </w:r>
    </w:p>
    <w:p w14:paraId="3992076C" w14:textId="3B577074" w:rsidR="006670AA" w:rsidRDefault="006670AA">
      <w:pPr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2481EB62" wp14:editId="7020D4D2">
            <wp:extent cx="5302912" cy="929106"/>
            <wp:effectExtent l="0" t="0" r="0" b="0"/>
            <wp:docPr id="1485205981" name="drawing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205981" name="drawing" descr="Une image contenant texte, capture d’écran, Police&#10;&#10;Le contenu généré par l’IA peut êtr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2912" cy="92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A435C" w14:textId="4065B436" w:rsidR="00BC6521" w:rsidRPr="0066213F" w:rsidRDefault="00BC6521">
      <w:pPr>
        <w:rPr>
          <w:rFonts w:ascii="Arial" w:hAnsi="Arial" w:cs="Arial"/>
          <w:b/>
          <w:bCs/>
          <w:sz w:val="24"/>
          <w:szCs w:val="24"/>
        </w:rPr>
      </w:pPr>
      <w:r w:rsidRPr="0066213F">
        <w:rPr>
          <w:rFonts w:ascii="Arial" w:hAnsi="Arial" w:cs="Arial"/>
          <w:b/>
          <w:bCs/>
          <w:sz w:val="24"/>
          <w:szCs w:val="24"/>
        </w:rPr>
        <w:t>Principe de la Région culturelle</w:t>
      </w:r>
    </w:p>
    <w:p w14:paraId="654002CC" w14:textId="39A65004" w:rsidR="00E65A2E" w:rsidRPr="00E65A2E" w:rsidRDefault="00956717">
      <w:pPr>
        <w:rPr>
          <w:rFonts w:ascii="Arial" w:hAnsi="Arial" w:cs="Arial"/>
          <w:sz w:val="20"/>
          <w:szCs w:val="20"/>
        </w:rPr>
      </w:pPr>
      <w:r w:rsidRPr="00E71FCF">
        <w:rPr>
          <w:rFonts w:ascii="Arial" w:hAnsi="Arial" w:cs="Arial"/>
          <w:i/>
          <w:iCs/>
          <w:sz w:val="20"/>
          <w:szCs w:val="20"/>
        </w:rPr>
        <w:t>Arcia R</w:t>
      </w:r>
      <w:r w:rsidR="00E65A2E" w:rsidRPr="00E65A2E">
        <w:rPr>
          <w:rFonts w:ascii="Arial" w:hAnsi="Arial" w:cs="Arial"/>
          <w:i/>
          <w:iCs/>
          <w:sz w:val="20"/>
          <w:szCs w:val="20"/>
        </w:rPr>
        <w:t>égion culturelle</w:t>
      </w:r>
      <w:r w:rsidR="00E65A2E" w:rsidRPr="00E65A2E">
        <w:rPr>
          <w:rFonts w:ascii="Arial" w:hAnsi="Arial" w:cs="Arial"/>
          <w:sz w:val="20"/>
          <w:szCs w:val="20"/>
        </w:rPr>
        <w:t xml:space="preserve"> est une association de communes au sens des articles 109 ss de la LCo.</w:t>
      </w:r>
    </w:p>
    <w:p w14:paraId="5B0CEA86" w14:textId="5621AEE9" w:rsidR="00BC6521" w:rsidRPr="00E65A2E" w:rsidRDefault="00BC6521">
      <w:pPr>
        <w:rPr>
          <w:rFonts w:ascii="Arial" w:hAnsi="Arial" w:cs="Arial"/>
          <w:sz w:val="20"/>
          <w:szCs w:val="20"/>
        </w:rPr>
      </w:pPr>
      <w:r w:rsidRPr="00067B94">
        <w:rPr>
          <w:rFonts w:ascii="Arial" w:hAnsi="Arial" w:cs="Arial"/>
          <w:sz w:val="20"/>
          <w:szCs w:val="20"/>
          <w:u w:val="single"/>
        </w:rPr>
        <w:t>Buts statutaires</w:t>
      </w:r>
      <w:r w:rsidRPr="00E65A2E">
        <w:rPr>
          <w:rFonts w:ascii="Arial" w:hAnsi="Arial" w:cs="Arial"/>
          <w:sz w:val="20"/>
          <w:szCs w:val="20"/>
        </w:rPr>
        <w:t xml:space="preserve"> : </w:t>
      </w:r>
    </w:p>
    <w:p w14:paraId="183BF029" w14:textId="69EC0328" w:rsidR="00E5324C" w:rsidRPr="007303EE" w:rsidRDefault="32A90ECA" w:rsidP="00E71FCF">
      <w:pPr>
        <w:pStyle w:val="Paragraphedeliste"/>
        <w:numPr>
          <w:ilvl w:val="0"/>
          <w:numId w:val="2"/>
        </w:numPr>
        <w:rPr>
          <w:rFonts w:ascii="Arial" w:eastAsia="aria" w:hAnsi="Arial" w:cs="Arial"/>
          <w:sz w:val="20"/>
          <w:szCs w:val="20"/>
        </w:rPr>
      </w:pPr>
      <w:proofErr w:type="gramStart"/>
      <w:r w:rsidRPr="007303EE">
        <w:rPr>
          <w:rFonts w:ascii="Arial" w:eastAsia="aria" w:hAnsi="Arial" w:cs="Arial"/>
          <w:sz w:val="20"/>
          <w:szCs w:val="20"/>
        </w:rPr>
        <w:t>définir</w:t>
      </w:r>
      <w:proofErr w:type="gramEnd"/>
      <w:r w:rsidRPr="007303EE">
        <w:rPr>
          <w:rFonts w:ascii="Arial" w:eastAsia="aria" w:hAnsi="Arial" w:cs="Arial"/>
          <w:sz w:val="20"/>
          <w:szCs w:val="20"/>
        </w:rPr>
        <w:t xml:space="preserve"> une stratégie et des objectifs culturels régionaux, et assurer leur mise en œuvre ;</w:t>
      </w:r>
    </w:p>
    <w:p w14:paraId="26FFF4F6" w14:textId="26EBCF29" w:rsidR="32A90ECA" w:rsidRPr="007303EE" w:rsidRDefault="32A90ECA" w:rsidP="1E1B1E12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eastAsia="aria" w:hAnsi="Arial" w:cs="Arial"/>
          <w:sz w:val="20"/>
          <w:szCs w:val="20"/>
        </w:rPr>
      </w:pPr>
      <w:proofErr w:type="gramStart"/>
      <w:r w:rsidRPr="007303EE">
        <w:rPr>
          <w:rFonts w:ascii="Arial" w:eastAsia="aria" w:hAnsi="Arial" w:cs="Arial"/>
          <w:sz w:val="20"/>
          <w:szCs w:val="20"/>
        </w:rPr>
        <w:t>encourager</w:t>
      </w:r>
      <w:proofErr w:type="gramEnd"/>
      <w:r w:rsidRPr="007303EE">
        <w:rPr>
          <w:rFonts w:ascii="Arial" w:eastAsia="aria" w:hAnsi="Arial" w:cs="Arial"/>
          <w:sz w:val="20"/>
          <w:szCs w:val="20"/>
        </w:rPr>
        <w:t>, dans la mesure où elles sont d’importance régionale, les activités culturelles, l’émergence artistique ainsi que l’accès et la participation culturelle ;</w:t>
      </w:r>
    </w:p>
    <w:p w14:paraId="502BF50E" w14:textId="6E8A3361" w:rsidR="32A90ECA" w:rsidRPr="007303EE" w:rsidRDefault="32A90ECA" w:rsidP="1E1B1E12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eastAsia="aria" w:hAnsi="Arial" w:cs="Arial"/>
          <w:sz w:val="20"/>
          <w:szCs w:val="20"/>
        </w:rPr>
      </w:pPr>
      <w:proofErr w:type="gramStart"/>
      <w:r w:rsidRPr="007303EE">
        <w:rPr>
          <w:rFonts w:ascii="Arial" w:eastAsia="aria" w:hAnsi="Arial" w:cs="Arial"/>
          <w:sz w:val="20"/>
          <w:szCs w:val="20"/>
        </w:rPr>
        <w:t>soutenir</w:t>
      </w:r>
      <w:proofErr w:type="gramEnd"/>
      <w:r w:rsidRPr="007303EE">
        <w:rPr>
          <w:rFonts w:ascii="Arial" w:eastAsia="aria" w:hAnsi="Arial" w:cs="Arial"/>
          <w:sz w:val="20"/>
          <w:szCs w:val="20"/>
        </w:rPr>
        <w:t xml:space="preserve"> les infrastructures culturelles d’importance régionale ;</w:t>
      </w:r>
    </w:p>
    <w:p w14:paraId="642CD1D4" w14:textId="11A9D490" w:rsidR="32A90ECA" w:rsidRPr="007303EE" w:rsidRDefault="32A90ECA" w:rsidP="1E1B1E12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eastAsia="aria" w:hAnsi="Arial" w:cs="Arial"/>
          <w:sz w:val="20"/>
          <w:szCs w:val="20"/>
        </w:rPr>
      </w:pPr>
      <w:proofErr w:type="gramStart"/>
      <w:r w:rsidRPr="007303EE">
        <w:rPr>
          <w:rFonts w:ascii="Arial" w:eastAsia="aria" w:hAnsi="Arial" w:cs="Arial"/>
          <w:sz w:val="20"/>
          <w:szCs w:val="20"/>
        </w:rPr>
        <w:t>assurer</w:t>
      </w:r>
      <w:proofErr w:type="gramEnd"/>
      <w:r w:rsidRPr="007303EE">
        <w:rPr>
          <w:rFonts w:ascii="Arial" w:eastAsia="aria" w:hAnsi="Arial" w:cs="Arial"/>
          <w:sz w:val="20"/>
          <w:szCs w:val="20"/>
        </w:rPr>
        <w:t xml:space="preserve"> l’exploitation, par le biais de la Fondation Équilibre et Nuithonie, des théâtres</w:t>
      </w:r>
      <w:r w:rsidR="2F4591DD" w:rsidRPr="007303EE">
        <w:rPr>
          <w:rFonts w:ascii="Arial" w:eastAsia="aria" w:hAnsi="Arial" w:cs="Arial"/>
          <w:sz w:val="20"/>
          <w:szCs w:val="20"/>
        </w:rPr>
        <w:t xml:space="preserve"> </w:t>
      </w:r>
      <w:r w:rsidRPr="007303EE">
        <w:rPr>
          <w:rFonts w:ascii="Arial" w:eastAsia="aria" w:hAnsi="Arial" w:cs="Arial"/>
          <w:sz w:val="20"/>
          <w:szCs w:val="20"/>
        </w:rPr>
        <w:t>Équilibre et Nuithonie dans la vision de la stratégie et des objectifs culturels régionaux ;</w:t>
      </w:r>
    </w:p>
    <w:p w14:paraId="6BF26C47" w14:textId="3B4C5288" w:rsidR="32A90ECA" w:rsidRPr="007303EE" w:rsidRDefault="32A90ECA" w:rsidP="1E1B1E12">
      <w:pPr>
        <w:pStyle w:val="Paragraphedeliste"/>
        <w:numPr>
          <w:ilvl w:val="0"/>
          <w:numId w:val="2"/>
        </w:numPr>
        <w:tabs>
          <w:tab w:val="left" w:pos="284"/>
        </w:tabs>
        <w:rPr>
          <w:rFonts w:ascii="Arial" w:eastAsia="aria" w:hAnsi="Arial" w:cs="Arial"/>
          <w:sz w:val="20"/>
          <w:szCs w:val="20"/>
        </w:rPr>
      </w:pPr>
      <w:proofErr w:type="gramStart"/>
      <w:r w:rsidRPr="007303EE">
        <w:rPr>
          <w:rFonts w:ascii="Arial" w:eastAsia="aria" w:hAnsi="Arial" w:cs="Arial"/>
          <w:sz w:val="20"/>
          <w:szCs w:val="20"/>
        </w:rPr>
        <w:t>participer</w:t>
      </w:r>
      <w:proofErr w:type="gramEnd"/>
      <w:r w:rsidRPr="007303EE">
        <w:rPr>
          <w:rFonts w:ascii="Arial" w:eastAsia="aria" w:hAnsi="Arial" w:cs="Arial"/>
          <w:sz w:val="20"/>
          <w:szCs w:val="20"/>
        </w:rPr>
        <w:t xml:space="preserve"> à l’élaboration et au développement de la stratégie culturelle coordonnée fribourgeoise, conformément aux dispositions de la LEAC.</w:t>
      </w:r>
    </w:p>
    <w:p w14:paraId="7C3C4F05" w14:textId="5DBFD6EA" w:rsidR="00E65A2E" w:rsidRPr="00E65A2E" w:rsidRDefault="00E65A2E" w:rsidP="00E65A2E">
      <w:pPr>
        <w:jc w:val="both"/>
        <w:rPr>
          <w:rFonts w:ascii="Arial" w:hAnsi="Arial" w:cs="Arial"/>
          <w:sz w:val="20"/>
          <w:szCs w:val="20"/>
        </w:rPr>
      </w:pPr>
      <w:r w:rsidRPr="00067B94">
        <w:rPr>
          <w:rFonts w:ascii="Arial" w:hAnsi="Arial" w:cs="Arial"/>
          <w:sz w:val="20"/>
          <w:szCs w:val="20"/>
          <w:u w:val="single"/>
        </w:rPr>
        <w:t xml:space="preserve">Une </w:t>
      </w:r>
      <w:r w:rsidR="00067B94" w:rsidRPr="00067B94">
        <w:rPr>
          <w:rFonts w:ascii="Arial" w:hAnsi="Arial" w:cs="Arial"/>
          <w:sz w:val="20"/>
          <w:szCs w:val="20"/>
          <w:u w:val="single"/>
        </w:rPr>
        <w:t>adhésion à la carte, selon les modules suivants</w:t>
      </w:r>
      <w:r w:rsidR="00067B94">
        <w:rPr>
          <w:rFonts w:ascii="Arial" w:hAnsi="Arial" w:cs="Arial"/>
          <w:sz w:val="20"/>
          <w:szCs w:val="20"/>
        </w:rPr>
        <w:t xml:space="preserve"> : </w:t>
      </w:r>
    </w:p>
    <w:p w14:paraId="59BB99DD" w14:textId="6CA4F972" w:rsidR="78B1CBDB" w:rsidRDefault="168EFC76" w:rsidP="00E71FCF">
      <w:pPr>
        <w:jc w:val="center"/>
      </w:pPr>
      <w:r>
        <w:rPr>
          <w:noProof/>
        </w:rPr>
        <w:drawing>
          <wp:inline distT="0" distB="0" distL="0" distR="0" wp14:anchorId="4F9E18FF" wp14:editId="31DA328E">
            <wp:extent cx="5092450" cy="3020326"/>
            <wp:effectExtent l="0" t="0" r="0" b="0"/>
            <wp:docPr id="5454177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417726" name="Picture 5454177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6942" t="2058" r="6942" b="7058"/>
                    <a:stretch>
                      <a:fillRect/>
                    </a:stretch>
                  </pic:blipFill>
                  <pic:spPr>
                    <a:xfrm>
                      <a:off x="0" y="0"/>
                      <a:ext cx="5092450" cy="3020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46170" w14:textId="246D3335" w:rsidR="00274A60" w:rsidRPr="0066213F" w:rsidRDefault="00274A60" w:rsidP="00E65A2E">
      <w:pPr>
        <w:rPr>
          <w:rFonts w:ascii="Arial" w:hAnsi="Arial" w:cs="Arial"/>
          <w:b/>
          <w:bCs/>
          <w:sz w:val="24"/>
          <w:szCs w:val="24"/>
        </w:rPr>
      </w:pPr>
      <w:r w:rsidRPr="0066213F">
        <w:rPr>
          <w:rFonts w:ascii="Arial" w:hAnsi="Arial" w:cs="Arial"/>
          <w:b/>
          <w:bCs/>
          <w:sz w:val="24"/>
          <w:szCs w:val="24"/>
        </w:rPr>
        <w:lastRenderedPageBreak/>
        <w:t>Particularités des statuts</w:t>
      </w:r>
    </w:p>
    <w:p w14:paraId="5B90F3A5" w14:textId="36B04AE5" w:rsidR="00BC6521" w:rsidRPr="00E65A2E" w:rsidRDefault="00E65A2E" w:rsidP="00E65A2E">
      <w:pPr>
        <w:rPr>
          <w:rFonts w:ascii="Arial" w:hAnsi="Arial" w:cs="Arial"/>
          <w:sz w:val="20"/>
          <w:szCs w:val="20"/>
          <w:u w:val="single"/>
        </w:rPr>
      </w:pPr>
      <w:r w:rsidRPr="00E65A2E">
        <w:rPr>
          <w:rFonts w:ascii="Arial" w:hAnsi="Arial" w:cs="Arial"/>
          <w:sz w:val="20"/>
          <w:szCs w:val="20"/>
          <w:u w:val="single"/>
        </w:rPr>
        <w:t>Liens avec la future loi sur l’encouragement des activités culturelles (LEAC)</w:t>
      </w:r>
    </w:p>
    <w:p w14:paraId="45219BFC" w14:textId="0CD418B5" w:rsidR="00E65A2E" w:rsidRPr="00E65A2E" w:rsidRDefault="00E65A2E" w:rsidP="00E65A2E">
      <w:pPr>
        <w:rPr>
          <w:rFonts w:ascii="Arial" w:hAnsi="Arial" w:cs="Arial"/>
          <w:sz w:val="20"/>
          <w:szCs w:val="20"/>
        </w:rPr>
      </w:pPr>
      <w:r w:rsidRPr="00E65A2E">
        <w:rPr>
          <w:rFonts w:ascii="Arial" w:hAnsi="Arial" w:cs="Arial"/>
          <w:sz w:val="20"/>
          <w:szCs w:val="20"/>
        </w:rPr>
        <w:t xml:space="preserve">Afin de garantir la </w:t>
      </w:r>
      <w:r w:rsidR="00F8179B">
        <w:rPr>
          <w:rFonts w:ascii="Arial" w:hAnsi="Arial" w:cs="Arial"/>
          <w:sz w:val="20"/>
          <w:szCs w:val="20"/>
        </w:rPr>
        <w:t>cohérence</w:t>
      </w:r>
      <w:r w:rsidRPr="00E65A2E">
        <w:rPr>
          <w:rFonts w:ascii="Arial" w:hAnsi="Arial" w:cs="Arial"/>
          <w:sz w:val="20"/>
          <w:szCs w:val="20"/>
        </w:rPr>
        <w:t xml:space="preserve"> avec la future LEAC, les missions et responsabilités des régions culturelles </w:t>
      </w:r>
      <w:r w:rsidR="00F8179B">
        <w:rPr>
          <w:rFonts w:ascii="Arial" w:hAnsi="Arial" w:cs="Arial"/>
          <w:sz w:val="20"/>
          <w:szCs w:val="20"/>
        </w:rPr>
        <w:t>qui y sont définies</w:t>
      </w:r>
      <w:r w:rsidRPr="00E65A2E">
        <w:rPr>
          <w:rFonts w:ascii="Arial" w:hAnsi="Arial" w:cs="Arial"/>
          <w:sz w:val="20"/>
          <w:szCs w:val="20"/>
        </w:rPr>
        <w:t xml:space="preserve"> sont reprises</w:t>
      </w:r>
      <w:r w:rsidR="00F8179B">
        <w:rPr>
          <w:rFonts w:ascii="Arial" w:hAnsi="Arial" w:cs="Arial"/>
          <w:sz w:val="20"/>
          <w:szCs w:val="20"/>
        </w:rPr>
        <w:t>, de même que la terminologie employée</w:t>
      </w:r>
      <w:r w:rsidRPr="00E65A2E">
        <w:rPr>
          <w:rFonts w:ascii="Arial" w:hAnsi="Arial" w:cs="Arial"/>
          <w:sz w:val="20"/>
          <w:szCs w:val="20"/>
        </w:rPr>
        <w:t>.</w:t>
      </w:r>
      <w:r w:rsidR="00F8179B">
        <w:rPr>
          <w:rFonts w:ascii="Arial" w:hAnsi="Arial" w:cs="Arial"/>
          <w:sz w:val="20"/>
          <w:szCs w:val="20"/>
        </w:rPr>
        <w:t xml:space="preserve"> L</w:t>
      </w:r>
      <w:r w:rsidR="00067B94">
        <w:rPr>
          <w:rFonts w:ascii="Arial" w:hAnsi="Arial" w:cs="Arial"/>
          <w:sz w:val="20"/>
          <w:szCs w:val="20"/>
        </w:rPr>
        <w:t>’association est</w:t>
      </w:r>
      <w:r w:rsidR="00F8179B">
        <w:rPr>
          <w:rFonts w:ascii="Arial" w:hAnsi="Arial" w:cs="Arial"/>
          <w:sz w:val="20"/>
          <w:szCs w:val="20"/>
        </w:rPr>
        <w:t xml:space="preserve"> ainsi</w:t>
      </w:r>
      <w:r w:rsidR="00067B94">
        <w:rPr>
          <w:rFonts w:ascii="Arial" w:hAnsi="Arial" w:cs="Arial"/>
          <w:sz w:val="20"/>
          <w:szCs w:val="20"/>
        </w:rPr>
        <w:t xml:space="preserve"> éligible comme « région culturelle » au sens de la LEAC. </w:t>
      </w:r>
    </w:p>
    <w:p w14:paraId="19919652" w14:textId="0F0C3935" w:rsidR="00E65A2E" w:rsidRDefault="00F8179B" w:rsidP="00E65A2E">
      <w:pPr>
        <w:rPr>
          <w:rFonts w:ascii="Arial" w:hAnsi="Arial" w:cs="Arial"/>
          <w:sz w:val="20"/>
          <w:szCs w:val="20"/>
        </w:rPr>
      </w:pPr>
      <w:r w:rsidRPr="00F8179B">
        <w:rPr>
          <w:rFonts w:ascii="Arial" w:hAnsi="Arial" w:cs="Arial"/>
          <w:sz w:val="20"/>
          <w:szCs w:val="20"/>
        </w:rPr>
        <w:t>La LEAC introduit par ailleurs la notion de « catalogue d’encouragement », soit un recueil dans lequel les communes membres d’une région listent les missions accomplies en commun.</w:t>
      </w:r>
    </w:p>
    <w:p w14:paraId="2D00AF7B" w14:textId="6F05ADB3" w:rsidR="00067B94" w:rsidRPr="009D1ECD" w:rsidRDefault="007112D9" w:rsidP="00E65A2E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Particularités d</w:t>
      </w:r>
      <w:r w:rsidR="00067B94" w:rsidRPr="009D1ECD">
        <w:rPr>
          <w:rFonts w:ascii="Arial" w:hAnsi="Arial" w:cs="Arial"/>
          <w:sz w:val="20"/>
          <w:szCs w:val="20"/>
          <w:u w:val="single"/>
        </w:rPr>
        <w:t>es organes</w:t>
      </w:r>
    </w:p>
    <w:p w14:paraId="228CE10B" w14:textId="0FCA5393" w:rsidR="009D1ECD" w:rsidRDefault="009D1ECD" w:rsidP="00E65A2E">
      <w:pPr>
        <w:rPr>
          <w:rFonts w:ascii="Arial" w:hAnsi="Arial" w:cs="Arial"/>
          <w:sz w:val="20"/>
          <w:szCs w:val="20"/>
        </w:rPr>
      </w:pPr>
      <w:r w:rsidRPr="007112D9">
        <w:rPr>
          <w:rFonts w:ascii="Arial" w:hAnsi="Arial" w:cs="Arial"/>
          <w:b/>
          <w:bCs/>
          <w:sz w:val="20"/>
          <w:szCs w:val="20"/>
        </w:rPr>
        <w:t>Comité de direction</w:t>
      </w:r>
      <w:r>
        <w:rPr>
          <w:rFonts w:ascii="Arial" w:hAnsi="Arial" w:cs="Arial"/>
          <w:sz w:val="20"/>
          <w:szCs w:val="20"/>
        </w:rPr>
        <w:t> </w:t>
      </w:r>
      <w:r w:rsidR="007112D9">
        <w:rPr>
          <w:rFonts w:ascii="Arial" w:hAnsi="Arial" w:cs="Arial"/>
          <w:sz w:val="20"/>
          <w:szCs w:val="20"/>
        </w:rPr>
        <w:t>(Comité) :</w:t>
      </w:r>
      <w:r>
        <w:rPr>
          <w:rFonts w:ascii="Arial" w:hAnsi="Arial" w:cs="Arial"/>
          <w:sz w:val="20"/>
          <w:szCs w:val="20"/>
        </w:rPr>
        <w:t xml:space="preserve"> composé de 9 à </w:t>
      </w:r>
      <w:r w:rsidR="00F8179B">
        <w:rPr>
          <w:rFonts w:ascii="Arial" w:hAnsi="Arial" w:cs="Arial"/>
          <w:sz w:val="20"/>
          <w:szCs w:val="20"/>
        </w:rPr>
        <w:t>11, il</w:t>
      </w:r>
      <w:r w:rsidR="00F8179B" w:rsidRPr="00F8179B">
        <w:rPr>
          <w:rFonts w:ascii="Arial" w:hAnsi="Arial" w:cs="Arial"/>
          <w:sz w:val="20"/>
          <w:szCs w:val="20"/>
        </w:rPr>
        <w:t xml:space="preserve"> comprend de droit </w:t>
      </w:r>
      <w:proofErr w:type="spellStart"/>
      <w:r w:rsidR="00F8179B" w:rsidRPr="00F8179B">
        <w:rPr>
          <w:rFonts w:ascii="Arial" w:hAnsi="Arial" w:cs="Arial"/>
          <w:sz w:val="20"/>
          <w:szCs w:val="20"/>
        </w:rPr>
        <w:t>un</w:t>
      </w:r>
      <w:r w:rsidR="00F8179B">
        <w:rPr>
          <w:rFonts w:ascii="Arial" w:hAnsi="Arial" w:cs="Arial"/>
          <w:sz w:val="20"/>
          <w:szCs w:val="20"/>
        </w:rPr>
        <w:t>-e</w:t>
      </w:r>
      <w:proofErr w:type="spellEnd"/>
      <w:r w:rsidR="00F8179B" w:rsidRPr="00F8179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8179B" w:rsidRPr="00F8179B">
        <w:rPr>
          <w:rFonts w:ascii="Arial" w:hAnsi="Arial" w:cs="Arial"/>
          <w:sz w:val="20"/>
          <w:szCs w:val="20"/>
        </w:rPr>
        <w:t>représentant</w:t>
      </w:r>
      <w:r w:rsidR="00F8179B">
        <w:rPr>
          <w:rFonts w:ascii="Arial" w:hAnsi="Arial" w:cs="Arial"/>
          <w:sz w:val="20"/>
          <w:szCs w:val="20"/>
        </w:rPr>
        <w:t>-e</w:t>
      </w:r>
      <w:proofErr w:type="spellEnd"/>
      <w:r w:rsidR="00F8179B" w:rsidRPr="00F8179B">
        <w:rPr>
          <w:rFonts w:ascii="Arial" w:hAnsi="Arial" w:cs="Arial"/>
          <w:sz w:val="20"/>
          <w:szCs w:val="20"/>
        </w:rPr>
        <w:t xml:space="preserve"> de chaque commune souscrivant à l’ensemble des modules</w:t>
      </w:r>
      <w:r w:rsidR="007112D9">
        <w:rPr>
          <w:rFonts w:ascii="Arial" w:hAnsi="Arial" w:cs="Arial"/>
          <w:sz w:val="20"/>
          <w:szCs w:val="20"/>
        </w:rPr>
        <w:t xml:space="preserve">. Les membres complémentaires sont </w:t>
      </w:r>
      <w:r w:rsidR="00F8179B">
        <w:rPr>
          <w:rFonts w:ascii="Arial" w:hAnsi="Arial" w:cs="Arial"/>
          <w:sz w:val="20"/>
          <w:szCs w:val="20"/>
        </w:rPr>
        <w:t>désignés</w:t>
      </w:r>
      <w:r w:rsidR="007112D9">
        <w:rPr>
          <w:rFonts w:ascii="Arial" w:hAnsi="Arial" w:cs="Arial"/>
          <w:sz w:val="20"/>
          <w:szCs w:val="20"/>
        </w:rPr>
        <w:t xml:space="preserve"> en </w:t>
      </w:r>
      <w:r w:rsidR="00F8179B">
        <w:rPr>
          <w:rFonts w:ascii="Arial" w:hAnsi="Arial" w:cs="Arial"/>
          <w:sz w:val="20"/>
          <w:szCs w:val="20"/>
        </w:rPr>
        <w:t xml:space="preserve">veillant à </w:t>
      </w:r>
      <w:r w:rsidR="007112D9">
        <w:rPr>
          <w:rFonts w:ascii="Arial" w:hAnsi="Arial" w:cs="Arial"/>
          <w:sz w:val="20"/>
          <w:szCs w:val="20"/>
        </w:rPr>
        <w:t xml:space="preserve">une représentation régionale équitable. </w:t>
      </w:r>
    </w:p>
    <w:p w14:paraId="648E24EF" w14:textId="47E5A26B" w:rsidR="009D1ECD" w:rsidRDefault="009D1ECD" w:rsidP="00E65A2E">
      <w:pPr>
        <w:rPr>
          <w:rFonts w:ascii="Arial" w:hAnsi="Arial" w:cs="Arial"/>
          <w:sz w:val="20"/>
          <w:szCs w:val="20"/>
        </w:rPr>
      </w:pPr>
      <w:r w:rsidRPr="007112D9">
        <w:rPr>
          <w:rFonts w:ascii="Arial" w:hAnsi="Arial" w:cs="Arial"/>
          <w:b/>
          <w:bCs/>
          <w:sz w:val="20"/>
          <w:szCs w:val="20"/>
        </w:rPr>
        <w:t>Assemblée des délégué-e-s</w:t>
      </w:r>
      <w:r>
        <w:rPr>
          <w:rFonts w:ascii="Arial" w:hAnsi="Arial" w:cs="Arial"/>
          <w:sz w:val="20"/>
          <w:szCs w:val="20"/>
        </w:rPr>
        <w:t> </w:t>
      </w:r>
      <w:r w:rsidR="007112D9">
        <w:rPr>
          <w:rFonts w:ascii="Arial" w:hAnsi="Arial" w:cs="Arial"/>
          <w:sz w:val="20"/>
          <w:szCs w:val="20"/>
        </w:rPr>
        <w:t>(AD)</w:t>
      </w:r>
      <w:r w:rsidR="00EF3C81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: </w:t>
      </w:r>
      <w:r w:rsidR="00F8179B" w:rsidRPr="00F8179B">
        <w:rPr>
          <w:rFonts w:ascii="Arial" w:hAnsi="Arial" w:cs="Arial"/>
          <w:sz w:val="20"/>
          <w:szCs w:val="20"/>
        </w:rPr>
        <w:t xml:space="preserve">pour chaque commune, le nombre de voix est déterminé selon sa </w:t>
      </w:r>
      <w:r w:rsidR="00EF3C81">
        <w:rPr>
          <w:rFonts w:ascii="Arial" w:hAnsi="Arial" w:cs="Arial"/>
          <w:sz w:val="20"/>
          <w:szCs w:val="20"/>
        </w:rPr>
        <w:t>population</w:t>
      </w:r>
      <w:r w:rsidR="00EF3C81" w:rsidRPr="00F8179B">
        <w:rPr>
          <w:rFonts w:ascii="Arial" w:hAnsi="Arial" w:cs="Arial"/>
          <w:sz w:val="20"/>
          <w:szCs w:val="20"/>
        </w:rPr>
        <w:t xml:space="preserve"> </w:t>
      </w:r>
      <w:r w:rsidR="00F8179B" w:rsidRPr="00F8179B">
        <w:rPr>
          <w:rFonts w:ascii="Arial" w:hAnsi="Arial" w:cs="Arial"/>
          <w:sz w:val="20"/>
          <w:szCs w:val="20"/>
        </w:rPr>
        <w:t>et son engagement : une voix de base, une voix par tranche de 2’000 habitant</w:t>
      </w:r>
      <w:r w:rsidR="00F8179B">
        <w:rPr>
          <w:rFonts w:ascii="Arial" w:hAnsi="Arial" w:cs="Arial"/>
          <w:sz w:val="20"/>
          <w:szCs w:val="20"/>
        </w:rPr>
        <w:t>-</w:t>
      </w:r>
      <w:r w:rsidR="00F8179B" w:rsidRPr="00F8179B">
        <w:rPr>
          <w:rFonts w:ascii="Arial" w:hAnsi="Arial" w:cs="Arial"/>
          <w:sz w:val="20"/>
          <w:szCs w:val="20"/>
        </w:rPr>
        <w:t>e</w:t>
      </w:r>
      <w:r w:rsidR="00F8179B">
        <w:rPr>
          <w:rFonts w:ascii="Arial" w:hAnsi="Arial" w:cs="Arial"/>
          <w:sz w:val="20"/>
          <w:szCs w:val="20"/>
        </w:rPr>
        <w:t>-</w:t>
      </w:r>
      <w:r w:rsidR="00F8179B" w:rsidRPr="00F8179B">
        <w:rPr>
          <w:rFonts w:ascii="Arial" w:hAnsi="Arial" w:cs="Arial"/>
          <w:sz w:val="20"/>
          <w:szCs w:val="20"/>
        </w:rPr>
        <w:t>s, ainsi qu’un nombre de voix lié aux contributions complémentaires (cinq, trois ou deux</w:t>
      </w:r>
      <w:r w:rsidR="00EF3C81">
        <w:rPr>
          <w:rFonts w:ascii="Arial" w:hAnsi="Arial" w:cs="Arial"/>
          <w:sz w:val="20"/>
          <w:szCs w:val="20"/>
        </w:rPr>
        <w:t>,</w:t>
      </w:r>
      <w:r w:rsidR="00F8179B" w:rsidRPr="00F8179B">
        <w:rPr>
          <w:rFonts w:ascii="Arial" w:hAnsi="Arial" w:cs="Arial"/>
          <w:sz w:val="20"/>
          <w:szCs w:val="20"/>
        </w:rPr>
        <w:t xml:space="preserve"> selon le module).</w:t>
      </w:r>
    </w:p>
    <w:p w14:paraId="1D427814" w14:textId="6F207CEF" w:rsidR="00067B94" w:rsidRDefault="00067B94" w:rsidP="00E65A2E">
      <w:pPr>
        <w:rPr>
          <w:rFonts w:ascii="Arial" w:hAnsi="Arial" w:cs="Arial"/>
          <w:sz w:val="20"/>
          <w:szCs w:val="20"/>
        </w:rPr>
      </w:pPr>
      <w:r w:rsidRPr="007112D9">
        <w:rPr>
          <w:rFonts w:ascii="Arial" w:hAnsi="Arial" w:cs="Arial"/>
          <w:b/>
          <w:bCs/>
          <w:sz w:val="20"/>
          <w:szCs w:val="20"/>
        </w:rPr>
        <w:t>Commissions</w:t>
      </w:r>
      <w:r>
        <w:rPr>
          <w:rFonts w:ascii="Arial" w:hAnsi="Arial" w:cs="Arial"/>
          <w:sz w:val="20"/>
          <w:szCs w:val="20"/>
        </w:rPr>
        <w:t> : une commission culturelle et une commission pour les infrastructures</w:t>
      </w:r>
      <w:r w:rsidR="00F8179B">
        <w:rPr>
          <w:rFonts w:ascii="Arial" w:hAnsi="Arial" w:cs="Arial"/>
          <w:sz w:val="20"/>
          <w:szCs w:val="20"/>
        </w:rPr>
        <w:t xml:space="preserve">. Elles </w:t>
      </w:r>
      <w:r w:rsidR="007112D9">
        <w:rPr>
          <w:rFonts w:ascii="Arial" w:hAnsi="Arial" w:cs="Arial"/>
          <w:sz w:val="20"/>
          <w:szCs w:val="20"/>
        </w:rPr>
        <w:t xml:space="preserve">sont </w:t>
      </w:r>
      <w:r>
        <w:rPr>
          <w:rFonts w:ascii="Arial" w:hAnsi="Arial" w:cs="Arial"/>
          <w:sz w:val="20"/>
          <w:szCs w:val="20"/>
        </w:rPr>
        <w:t xml:space="preserve">dépolitisées et présidées par </w:t>
      </w:r>
      <w:r w:rsidR="00F8179B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 xml:space="preserve">un </w:t>
      </w:r>
      <w:r w:rsidR="007112D9">
        <w:rPr>
          <w:rFonts w:ascii="Arial" w:hAnsi="Arial" w:cs="Arial"/>
          <w:sz w:val="20"/>
          <w:szCs w:val="20"/>
        </w:rPr>
        <w:t xml:space="preserve">de </w:t>
      </w:r>
      <w:r w:rsidR="00F8179B">
        <w:rPr>
          <w:rFonts w:ascii="Arial" w:hAnsi="Arial" w:cs="Arial"/>
          <w:sz w:val="20"/>
          <w:szCs w:val="20"/>
        </w:rPr>
        <w:t>leurs</w:t>
      </w:r>
      <w:r w:rsidR="007112D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membre</w:t>
      </w:r>
      <w:r w:rsidR="007112D9">
        <w:rPr>
          <w:rFonts w:ascii="Arial" w:hAnsi="Arial" w:cs="Arial"/>
          <w:sz w:val="20"/>
          <w:szCs w:val="20"/>
        </w:rPr>
        <w:t>s. Le/la coordinateur-</w:t>
      </w:r>
      <w:proofErr w:type="spellStart"/>
      <w:r w:rsidR="007112D9">
        <w:rPr>
          <w:rFonts w:ascii="Arial" w:hAnsi="Arial" w:cs="Arial"/>
          <w:sz w:val="20"/>
          <w:szCs w:val="20"/>
        </w:rPr>
        <w:t>trice</w:t>
      </w:r>
      <w:proofErr w:type="spellEnd"/>
      <w:r w:rsidR="007112D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112D9">
        <w:rPr>
          <w:rFonts w:ascii="Arial" w:hAnsi="Arial" w:cs="Arial"/>
          <w:sz w:val="20"/>
          <w:szCs w:val="20"/>
        </w:rPr>
        <w:t>régional</w:t>
      </w:r>
      <w:r w:rsidR="00F8179B">
        <w:rPr>
          <w:rFonts w:ascii="Arial" w:hAnsi="Arial" w:cs="Arial"/>
          <w:sz w:val="20"/>
          <w:szCs w:val="20"/>
        </w:rPr>
        <w:t>-</w:t>
      </w:r>
      <w:r w:rsidR="007112D9">
        <w:rPr>
          <w:rFonts w:ascii="Arial" w:hAnsi="Arial" w:cs="Arial"/>
          <w:sz w:val="20"/>
          <w:szCs w:val="20"/>
        </w:rPr>
        <w:t>e</w:t>
      </w:r>
      <w:proofErr w:type="spellEnd"/>
      <w:r w:rsidR="007112D9">
        <w:rPr>
          <w:rFonts w:ascii="Arial" w:hAnsi="Arial" w:cs="Arial"/>
          <w:sz w:val="20"/>
          <w:szCs w:val="20"/>
        </w:rPr>
        <w:t xml:space="preserve"> en assure le secrétariat et le suivi. </w:t>
      </w:r>
      <w:r w:rsidR="00F8179B" w:rsidRPr="00F8179B">
        <w:rPr>
          <w:rFonts w:ascii="Arial" w:hAnsi="Arial" w:cs="Arial"/>
          <w:sz w:val="20"/>
          <w:szCs w:val="20"/>
        </w:rPr>
        <w:t>Leurs membres proviennent du milieu culturel et de toute discipline jugée pertinente</w:t>
      </w:r>
      <w:r w:rsidR="00F8179B">
        <w:rPr>
          <w:rFonts w:ascii="Arial" w:hAnsi="Arial" w:cs="Arial"/>
          <w:sz w:val="20"/>
          <w:szCs w:val="20"/>
        </w:rPr>
        <w:t>.</w:t>
      </w:r>
    </w:p>
    <w:p w14:paraId="307D0FCD" w14:textId="55C4C5ED" w:rsidR="009D1ECD" w:rsidRDefault="009D1ECD" w:rsidP="04211179">
      <w:pPr>
        <w:rPr>
          <w:rFonts w:ascii="Arial" w:eastAsia="Arial" w:hAnsi="Arial" w:cs="Arial"/>
          <w:sz w:val="20"/>
          <w:szCs w:val="20"/>
        </w:rPr>
      </w:pPr>
      <w:r w:rsidRPr="04211179">
        <w:rPr>
          <w:rFonts w:ascii="Arial" w:hAnsi="Arial" w:cs="Arial"/>
          <w:b/>
          <w:bCs/>
          <w:sz w:val="20"/>
          <w:szCs w:val="20"/>
        </w:rPr>
        <w:t>Coordinateur-</w:t>
      </w:r>
      <w:proofErr w:type="spellStart"/>
      <w:r w:rsidRPr="04211179">
        <w:rPr>
          <w:rFonts w:ascii="Arial" w:hAnsi="Arial" w:cs="Arial"/>
          <w:b/>
          <w:bCs/>
          <w:sz w:val="20"/>
          <w:szCs w:val="20"/>
        </w:rPr>
        <w:t>trice</w:t>
      </w:r>
      <w:proofErr w:type="spellEnd"/>
      <w:r w:rsidRPr="0421117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4211179">
        <w:rPr>
          <w:rFonts w:ascii="Arial" w:hAnsi="Arial" w:cs="Arial"/>
          <w:b/>
          <w:bCs/>
          <w:sz w:val="20"/>
          <w:szCs w:val="20"/>
        </w:rPr>
        <w:t>régional</w:t>
      </w:r>
      <w:r w:rsidR="00F8179B" w:rsidRPr="04211179">
        <w:rPr>
          <w:rFonts w:ascii="Arial" w:hAnsi="Arial" w:cs="Arial"/>
          <w:b/>
          <w:bCs/>
          <w:sz w:val="20"/>
          <w:szCs w:val="20"/>
        </w:rPr>
        <w:t>-e</w:t>
      </w:r>
      <w:proofErr w:type="spellEnd"/>
      <w:r w:rsidRPr="04211179">
        <w:rPr>
          <w:rFonts w:ascii="Arial" w:hAnsi="Arial" w:cs="Arial"/>
          <w:b/>
          <w:bCs/>
          <w:sz w:val="20"/>
          <w:szCs w:val="20"/>
        </w:rPr>
        <w:t xml:space="preserve"> de la culture</w:t>
      </w:r>
      <w:r w:rsidRPr="04211179">
        <w:rPr>
          <w:rFonts w:ascii="Arial" w:hAnsi="Arial" w:cs="Arial"/>
          <w:sz w:val="20"/>
          <w:szCs w:val="20"/>
        </w:rPr>
        <w:t xml:space="preserve"> : </w:t>
      </w:r>
      <w:r w:rsidR="671198DB" w:rsidRPr="04211179">
        <w:rPr>
          <w:rFonts w:ascii="Arial" w:eastAsia="Arial" w:hAnsi="Arial" w:cs="Arial"/>
          <w:sz w:val="20"/>
          <w:szCs w:val="20"/>
        </w:rPr>
        <w:t xml:space="preserve">responsable de la gestion de l’association, de la coordination administrative et du déploiement de la </w:t>
      </w:r>
      <w:r w:rsidR="00ED4364">
        <w:rPr>
          <w:rFonts w:ascii="Arial" w:eastAsia="Arial" w:hAnsi="Arial" w:cs="Arial"/>
          <w:sz w:val="20"/>
          <w:szCs w:val="20"/>
        </w:rPr>
        <w:t>stratégie</w:t>
      </w:r>
      <w:r w:rsidR="671198DB" w:rsidRPr="04211179">
        <w:rPr>
          <w:rFonts w:ascii="Arial" w:eastAsia="Arial" w:hAnsi="Arial" w:cs="Arial"/>
          <w:sz w:val="20"/>
          <w:szCs w:val="20"/>
        </w:rPr>
        <w:t xml:space="preserve"> culturelle régionale. Il ou elle représente l’association auprès des tiers.</w:t>
      </w:r>
    </w:p>
    <w:p w14:paraId="29B7F422" w14:textId="0F00F507" w:rsidR="007112D9" w:rsidRDefault="007112D9" w:rsidP="00E65A2E">
      <w:pPr>
        <w:rPr>
          <w:rFonts w:ascii="Arial" w:hAnsi="Arial" w:cs="Arial"/>
          <w:sz w:val="20"/>
          <w:szCs w:val="20"/>
        </w:rPr>
      </w:pPr>
      <w:r w:rsidRPr="007112D9">
        <w:rPr>
          <w:rFonts w:ascii="Arial" w:hAnsi="Arial" w:cs="Arial"/>
          <w:b/>
          <w:bCs/>
          <w:sz w:val="20"/>
          <w:szCs w:val="20"/>
        </w:rPr>
        <w:t>Présidence</w:t>
      </w:r>
      <w:r>
        <w:rPr>
          <w:rFonts w:ascii="Arial" w:hAnsi="Arial" w:cs="Arial"/>
          <w:sz w:val="20"/>
          <w:szCs w:val="20"/>
        </w:rPr>
        <w:t xml:space="preserve"> : par principe, l’AD désigne la présidence parmi les membres du Comité. Elle peut toutefois élire une personne tierce (qui n’est pas membre d’un conseil communal) ; dans </w:t>
      </w:r>
      <w:r w:rsidR="0066213F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 xml:space="preserve"> cas</w:t>
      </w:r>
      <w:r w:rsidR="0066213F">
        <w:rPr>
          <w:rFonts w:ascii="Arial" w:hAnsi="Arial" w:cs="Arial"/>
          <w:sz w:val="20"/>
          <w:szCs w:val="20"/>
        </w:rPr>
        <w:t>, celle-ci dispose d’une voix consultative uniquement.</w:t>
      </w:r>
    </w:p>
    <w:p w14:paraId="25FEB8A1" w14:textId="7D04FA99" w:rsidR="009D1ECD" w:rsidRDefault="009D1ECD" w:rsidP="00E65A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relation avec la ville-centre, la commune de Fribourg, fera l’objet d’une attention particulière.</w:t>
      </w:r>
    </w:p>
    <w:p w14:paraId="6289C38D" w14:textId="4BD42105" w:rsidR="00B74AE7" w:rsidRDefault="00B74AE7" w:rsidP="00E65A2E">
      <w:pPr>
        <w:rPr>
          <w:rFonts w:ascii="Arial" w:hAnsi="Arial" w:cs="Arial"/>
          <w:sz w:val="20"/>
          <w:szCs w:val="20"/>
          <w:u w:val="single"/>
        </w:rPr>
      </w:pPr>
      <w:r w:rsidRPr="00B74AE7">
        <w:rPr>
          <w:rFonts w:ascii="Arial" w:hAnsi="Arial" w:cs="Arial"/>
          <w:sz w:val="20"/>
          <w:szCs w:val="20"/>
          <w:u w:val="single"/>
        </w:rPr>
        <w:t>Le missionnement</w:t>
      </w:r>
    </w:p>
    <w:p w14:paraId="39FF2DF6" w14:textId="23B2FF40" w:rsidR="00B74AE7" w:rsidRDefault="0066213F" w:rsidP="00E65A2E">
      <w:pPr>
        <w:rPr>
          <w:rFonts w:ascii="Arial" w:hAnsi="Arial" w:cs="Arial"/>
          <w:sz w:val="20"/>
          <w:szCs w:val="20"/>
        </w:rPr>
      </w:pPr>
      <w:r w:rsidRPr="7F611318">
        <w:rPr>
          <w:rFonts w:ascii="Arial" w:hAnsi="Arial" w:cs="Arial"/>
          <w:sz w:val="20"/>
          <w:szCs w:val="20"/>
        </w:rPr>
        <w:t>Par le biais</w:t>
      </w:r>
      <w:r w:rsidR="00B74AE7" w:rsidRPr="7F611318">
        <w:rPr>
          <w:rFonts w:ascii="Arial" w:hAnsi="Arial" w:cs="Arial"/>
          <w:sz w:val="20"/>
          <w:szCs w:val="20"/>
        </w:rPr>
        <w:t xml:space="preserve"> de contrat</w:t>
      </w:r>
      <w:r w:rsidR="78459BDC" w:rsidRPr="7F611318">
        <w:rPr>
          <w:rFonts w:ascii="Arial" w:hAnsi="Arial" w:cs="Arial"/>
          <w:sz w:val="20"/>
          <w:szCs w:val="20"/>
        </w:rPr>
        <w:t>s</w:t>
      </w:r>
      <w:r w:rsidR="00B74AE7" w:rsidRPr="7F611318">
        <w:rPr>
          <w:rFonts w:ascii="Arial" w:hAnsi="Arial" w:cs="Arial"/>
          <w:sz w:val="20"/>
          <w:szCs w:val="20"/>
        </w:rPr>
        <w:t xml:space="preserve"> et de subventions, l’association </w:t>
      </w:r>
      <w:r w:rsidRPr="7F611318">
        <w:rPr>
          <w:rFonts w:ascii="Arial" w:hAnsi="Arial" w:cs="Arial"/>
          <w:sz w:val="20"/>
          <w:szCs w:val="20"/>
        </w:rPr>
        <w:t>peut</w:t>
      </w:r>
      <w:r w:rsidR="00B74AE7" w:rsidRPr="7F611318">
        <w:rPr>
          <w:rFonts w:ascii="Arial" w:hAnsi="Arial" w:cs="Arial"/>
          <w:sz w:val="20"/>
          <w:szCs w:val="20"/>
        </w:rPr>
        <w:t xml:space="preserve"> se lier </w:t>
      </w:r>
      <w:r w:rsidRPr="7F611318">
        <w:rPr>
          <w:rFonts w:ascii="Arial" w:hAnsi="Arial" w:cs="Arial"/>
          <w:sz w:val="20"/>
          <w:szCs w:val="20"/>
        </w:rPr>
        <w:t>à des</w:t>
      </w:r>
      <w:r w:rsidR="00B74AE7" w:rsidRPr="7F611318">
        <w:rPr>
          <w:rFonts w:ascii="Arial" w:hAnsi="Arial" w:cs="Arial"/>
          <w:sz w:val="20"/>
          <w:szCs w:val="20"/>
        </w:rPr>
        <w:t xml:space="preserve"> entreprises culturelles afin de </w:t>
      </w:r>
      <w:r w:rsidRPr="7F611318">
        <w:rPr>
          <w:rFonts w:ascii="Arial" w:hAnsi="Arial" w:cs="Arial"/>
          <w:sz w:val="20"/>
          <w:szCs w:val="20"/>
        </w:rPr>
        <w:t>définir</w:t>
      </w:r>
      <w:r w:rsidR="00B74AE7" w:rsidRPr="7F611318">
        <w:rPr>
          <w:rFonts w:ascii="Arial" w:hAnsi="Arial" w:cs="Arial"/>
          <w:sz w:val="20"/>
          <w:szCs w:val="20"/>
        </w:rPr>
        <w:t xml:space="preserve"> des objectifs politiques et culturels, tout en clarifiant les attentes et en sécurisant les financements.</w:t>
      </w:r>
    </w:p>
    <w:p w14:paraId="1CCF752E" w14:textId="280A6BC8" w:rsidR="00B74AE7" w:rsidRPr="00B74AE7" w:rsidRDefault="00B74AE7" w:rsidP="00E65A2E">
      <w:pPr>
        <w:rPr>
          <w:rFonts w:ascii="Arial" w:hAnsi="Arial" w:cs="Arial"/>
          <w:sz w:val="20"/>
          <w:szCs w:val="20"/>
          <w:u w:val="single"/>
        </w:rPr>
      </w:pPr>
      <w:r w:rsidRPr="00B74AE7">
        <w:rPr>
          <w:rFonts w:ascii="Arial" w:hAnsi="Arial" w:cs="Arial"/>
          <w:sz w:val="20"/>
          <w:szCs w:val="20"/>
          <w:u w:val="single"/>
        </w:rPr>
        <w:t>Les bénéficiaires</w:t>
      </w:r>
    </w:p>
    <w:p w14:paraId="59A17C26" w14:textId="5CE33FF6" w:rsidR="00B74AE7" w:rsidRDefault="00B74AE7" w:rsidP="00E65A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 manière générale, les bénéficiaires des prestations sont toujours </w:t>
      </w:r>
      <w:r w:rsidR="0066213F">
        <w:rPr>
          <w:rFonts w:ascii="Arial" w:hAnsi="Arial" w:cs="Arial"/>
          <w:sz w:val="20"/>
          <w:szCs w:val="20"/>
        </w:rPr>
        <w:t>établis</w:t>
      </w:r>
      <w:r>
        <w:rPr>
          <w:rFonts w:ascii="Arial" w:hAnsi="Arial" w:cs="Arial"/>
          <w:sz w:val="20"/>
          <w:szCs w:val="20"/>
        </w:rPr>
        <w:t xml:space="preserve"> (siège ou domicile) dans </w:t>
      </w:r>
      <w:r w:rsidR="0066213F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sz w:val="20"/>
          <w:szCs w:val="20"/>
        </w:rPr>
        <w:t xml:space="preserve">une des communes finançant le module </w:t>
      </w:r>
      <w:r w:rsidR="0066213F">
        <w:rPr>
          <w:rFonts w:ascii="Arial" w:hAnsi="Arial" w:cs="Arial"/>
          <w:sz w:val="20"/>
          <w:szCs w:val="20"/>
        </w:rPr>
        <w:t>concerné</w:t>
      </w:r>
      <w:r>
        <w:rPr>
          <w:rFonts w:ascii="Arial" w:hAnsi="Arial" w:cs="Arial"/>
          <w:sz w:val="20"/>
          <w:szCs w:val="20"/>
        </w:rPr>
        <w:t>.</w:t>
      </w:r>
    </w:p>
    <w:p w14:paraId="03672FB6" w14:textId="7B83F0FA" w:rsidR="00B74AE7" w:rsidRPr="00B74AE7" w:rsidRDefault="00B74AE7" w:rsidP="00E65A2E">
      <w:pPr>
        <w:rPr>
          <w:rFonts w:ascii="Arial" w:hAnsi="Arial" w:cs="Arial"/>
          <w:sz w:val="20"/>
          <w:szCs w:val="20"/>
          <w:u w:val="single"/>
        </w:rPr>
      </w:pPr>
      <w:r w:rsidRPr="00B74AE7">
        <w:rPr>
          <w:rFonts w:ascii="Arial" w:hAnsi="Arial" w:cs="Arial"/>
          <w:sz w:val="20"/>
          <w:szCs w:val="20"/>
          <w:u w:val="single"/>
        </w:rPr>
        <w:t>Cas particulier</w:t>
      </w:r>
      <w:r w:rsidR="0066213F">
        <w:rPr>
          <w:rFonts w:ascii="Arial" w:hAnsi="Arial" w:cs="Arial"/>
          <w:sz w:val="20"/>
          <w:szCs w:val="20"/>
          <w:u w:val="single"/>
        </w:rPr>
        <w:t> :</w:t>
      </w:r>
      <w:r w:rsidRPr="00B74AE7">
        <w:rPr>
          <w:rFonts w:ascii="Arial" w:hAnsi="Arial" w:cs="Arial"/>
          <w:sz w:val="20"/>
          <w:szCs w:val="20"/>
          <w:u w:val="single"/>
        </w:rPr>
        <w:t xml:space="preserve"> la Fondation </w:t>
      </w:r>
      <w:r w:rsidR="00BC5B42" w:rsidRPr="00B74AE7">
        <w:rPr>
          <w:rFonts w:ascii="Arial" w:hAnsi="Arial" w:cs="Arial"/>
          <w:sz w:val="20"/>
          <w:szCs w:val="20"/>
          <w:u w:val="single"/>
        </w:rPr>
        <w:t>Équilibre</w:t>
      </w:r>
      <w:r w:rsidRPr="00B74AE7">
        <w:rPr>
          <w:rFonts w:ascii="Arial" w:hAnsi="Arial" w:cs="Arial"/>
          <w:sz w:val="20"/>
          <w:szCs w:val="20"/>
          <w:u w:val="single"/>
        </w:rPr>
        <w:t xml:space="preserve"> et Nuithonie (FEN)</w:t>
      </w:r>
    </w:p>
    <w:p w14:paraId="1ABB9D84" w14:textId="65167A6F" w:rsidR="00B74AE7" w:rsidRDefault="00B74AE7" w:rsidP="00E65A2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FEN fait l’objet d’un article </w:t>
      </w:r>
      <w:r w:rsidR="0066213F">
        <w:rPr>
          <w:rFonts w:ascii="Arial" w:hAnsi="Arial" w:cs="Arial"/>
          <w:sz w:val="20"/>
          <w:szCs w:val="20"/>
        </w:rPr>
        <w:t>spécifique</w:t>
      </w:r>
      <w:r>
        <w:rPr>
          <w:rFonts w:ascii="Arial" w:hAnsi="Arial" w:cs="Arial"/>
          <w:sz w:val="20"/>
          <w:szCs w:val="20"/>
        </w:rPr>
        <w:t xml:space="preserve"> en raison de son historique (</w:t>
      </w:r>
      <w:r w:rsidR="0066213F">
        <w:rPr>
          <w:rFonts w:ascii="Arial" w:hAnsi="Arial" w:cs="Arial"/>
          <w:sz w:val="20"/>
          <w:szCs w:val="20"/>
        </w:rPr>
        <w:t xml:space="preserve">la FEN étant le </w:t>
      </w:r>
      <w:r>
        <w:rPr>
          <w:rFonts w:ascii="Arial" w:hAnsi="Arial" w:cs="Arial"/>
          <w:sz w:val="20"/>
          <w:szCs w:val="20"/>
        </w:rPr>
        <w:t xml:space="preserve">fruit direct d’une volonté collective de communes) et de sa reconnaissance suprarégionale. Le financement de </w:t>
      </w:r>
      <w:r w:rsidR="0066213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es infrastructures est assuré par la région et </w:t>
      </w:r>
      <w:r w:rsidR="0066213F">
        <w:rPr>
          <w:rFonts w:ascii="Arial" w:hAnsi="Arial" w:cs="Arial"/>
          <w:sz w:val="20"/>
          <w:szCs w:val="20"/>
        </w:rPr>
        <w:t>encadré par</w:t>
      </w:r>
      <w:r>
        <w:rPr>
          <w:rFonts w:ascii="Arial" w:hAnsi="Arial" w:cs="Arial"/>
          <w:sz w:val="20"/>
          <w:szCs w:val="20"/>
        </w:rPr>
        <w:t xml:space="preserve"> un mandat de prestation. </w:t>
      </w:r>
    </w:p>
    <w:p w14:paraId="269BD856" w14:textId="77777777" w:rsidR="00B74AE7" w:rsidRPr="00F8179B" w:rsidRDefault="00B74AE7" w:rsidP="00E65A2E">
      <w:pPr>
        <w:rPr>
          <w:rFonts w:ascii="Arial" w:hAnsi="Arial" w:cs="Arial"/>
          <w:sz w:val="20"/>
          <w:szCs w:val="20"/>
          <w:u w:val="single"/>
        </w:rPr>
      </w:pPr>
      <w:r w:rsidRPr="00F8179B">
        <w:rPr>
          <w:rFonts w:ascii="Arial" w:hAnsi="Arial" w:cs="Arial"/>
          <w:sz w:val="20"/>
          <w:szCs w:val="20"/>
          <w:u w:val="single"/>
        </w:rPr>
        <w:t>Adhésion aux modules</w:t>
      </w:r>
    </w:p>
    <w:p w14:paraId="39FC0E2C" w14:textId="7DC85D6C" w:rsidR="0066213F" w:rsidRPr="00E65A2E" w:rsidRDefault="0066213F" w:rsidP="00F8179B">
      <w:pPr>
        <w:rPr>
          <w:rFonts w:ascii="Arial" w:hAnsi="Arial" w:cs="Arial"/>
          <w:sz w:val="20"/>
          <w:szCs w:val="20"/>
        </w:rPr>
      </w:pPr>
      <w:r w:rsidRPr="0066213F">
        <w:rPr>
          <w:rFonts w:ascii="Arial" w:hAnsi="Arial" w:cs="Arial"/>
          <w:sz w:val="20"/>
          <w:szCs w:val="20"/>
        </w:rPr>
        <w:t>L’adhésion à un module est possible en tout temps et vaut jusqu’à la fin de la législature</w:t>
      </w:r>
      <w:r w:rsidR="00F8179B" w:rsidRPr="00F8179B">
        <w:rPr>
          <w:rFonts w:ascii="Arial" w:hAnsi="Arial" w:cs="Arial"/>
          <w:sz w:val="20"/>
          <w:szCs w:val="20"/>
        </w:rPr>
        <w:t>.</w:t>
      </w:r>
      <w:r w:rsidR="00C40388">
        <w:rPr>
          <w:rFonts w:ascii="Arial" w:hAnsi="Arial" w:cs="Arial"/>
          <w:sz w:val="20"/>
          <w:szCs w:val="20"/>
        </w:rPr>
        <w:t xml:space="preserve"> Si le Comité décide, en cours de législature, d’une augmentation du coût par habitant d’un module, les communes qui l’ont souscrit peuvent y renoncer.</w:t>
      </w:r>
      <w:r w:rsidR="00F8179B">
        <w:rPr>
          <w:rFonts w:ascii="Arial" w:hAnsi="Arial" w:cs="Arial"/>
          <w:sz w:val="20"/>
          <w:szCs w:val="20"/>
        </w:rPr>
        <w:t xml:space="preserve"> </w:t>
      </w:r>
      <w:r w:rsidR="00DE2672">
        <w:rPr>
          <w:rFonts w:ascii="Arial" w:hAnsi="Arial" w:cs="Arial"/>
          <w:sz w:val="20"/>
          <w:szCs w:val="20"/>
        </w:rPr>
        <w:t>La souscription</w:t>
      </w:r>
      <w:r w:rsidRPr="0066213F">
        <w:rPr>
          <w:rFonts w:ascii="Arial" w:hAnsi="Arial" w:cs="Arial"/>
          <w:sz w:val="20"/>
          <w:szCs w:val="20"/>
        </w:rPr>
        <w:t xml:space="preserve"> ou </w:t>
      </w:r>
      <w:r w:rsidR="00DE2672">
        <w:rPr>
          <w:rFonts w:ascii="Arial" w:hAnsi="Arial" w:cs="Arial"/>
          <w:sz w:val="20"/>
          <w:szCs w:val="20"/>
        </w:rPr>
        <w:t xml:space="preserve">la renonciation à </w:t>
      </w:r>
      <w:r w:rsidRPr="0066213F">
        <w:rPr>
          <w:rFonts w:ascii="Arial" w:hAnsi="Arial" w:cs="Arial"/>
          <w:sz w:val="20"/>
          <w:szCs w:val="20"/>
        </w:rPr>
        <w:t>un module est également possible à chaque nouvelle législature, dans les délais fixés par le Comité.</w:t>
      </w:r>
    </w:p>
    <w:sectPr w:rsidR="0066213F" w:rsidRPr="00E65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">
    <w:altName w:val="Cambria"/>
    <w:panose1 w:val="00000000000000000000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9F336"/>
    <w:multiLevelType w:val="hybridMultilevel"/>
    <w:tmpl w:val="FFFFFFFF"/>
    <w:lvl w:ilvl="0" w:tplc="85EE7A5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6A60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5AE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2A4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FA7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86E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0C5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E7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AE5C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96FE6"/>
    <w:multiLevelType w:val="hybridMultilevel"/>
    <w:tmpl w:val="FFFFFFFF"/>
    <w:lvl w:ilvl="0" w:tplc="03B80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7E0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85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CE6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C1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003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2D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B86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845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F5B68"/>
    <w:multiLevelType w:val="hybridMultilevel"/>
    <w:tmpl w:val="DC52EDC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3295951">
    <w:abstractNumId w:val="2"/>
  </w:num>
  <w:num w:numId="2" w16cid:durableId="1178542164">
    <w:abstractNumId w:val="1"/>
  </w:num>
  <w:num w:numId="3" w16cid:durableId="159150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73F"/>
    <w:rsid w:val="000202A7"/>
    <w:rsid w:val="00067B94"/>
    <w:rsid w:val="0009249B"/>
    <w:rsid w:val="000D0379"/>
    <w:rsid w:val="000F4350"/>
    <w:rsid w:val="001453FB"/>
    <w:rsid w:val="001C47FB"/>
    <w:rsid w:val="00220337"/>
    <w:rsid w:val="00236969"/>
    <w:rsid w:val="00240D9B"/>
    <w:rsid w:val="002742E9"/>
    <w:rsid w:val="00274A60"/>
    <w:rsid w:val="002965D1"/>
    <w:rsid w:val="004B76C1"/>
    <w:rsid w:val="004D64F1"/>
    <w:rsid w:val="00521D80"/>
    <w:rsid w:val="0055373F"/>
    <w:rsid w:val="00560B12"/>
    <w:rsid w:val="005E7890"/>
    <w:rsid w:val="00631A71"/>
    <w:rsid w:val="00640CEC"/>
    <w:rsid w:val="0066213F"/>
    <w:rsid w:val="006670AA"/>
    <w:rsid w:val="00671D82"/>
    <w:rsid w:val="006F46E7"/>
    <w:rsid w:val="006F72BB"/>
    <w:rsid w:val="007112D9"/>
    <w:rsid w:val="00725872"/>
    <w:rsid w:val="007303EE"/>
    <w:rsid w:val="00785D3F"/>
    <w:rsid w:val="00790EB8"/>
    <w:rsid w:val="007D2961"/>
    <w:rsid w:val="008134E1"/>
    <w:rsid w:val="00906A67"/>
    <w:rsid w:val="00956717"/>
    <w:rsid w:val="00980934"/>
    <w:rsid w:val="00990002"/>
    <w:rsid w:val="009D1ECD"/>
    <w:rsid w:val="009E2CCC"/>
    <w:rsid w:val="00A438C8"/>
    <w:rsid w:val="00A83A9E"/>
    <w:rsid w:val="00AA3293"/>
    <w:rsid w:val="00B74AE7"/>
    <w:rsid w:val="00B85B14"/>
    <w:rsid w:val="00BC5B42"/>
    <w:rsid w:val="00BC63F1"/>
    <w:rsid w:val="00BC6521"/>
    <w:rsid w:val="00C40388"/>
    <w:rsid w:val="00C54B74"/>
    <w:rsid w:val="00CE39F3"/>
    <w:rsid w:val="00D1057E"/>
    <w:rsid w:val="00DC7D22"/>
    <w:rsid w:val="00DE00DC"/>
    <w:rsid w:val="00DE2672"/>
    <w:rsid w:val="00E42E88"/>
    <w:rsid w:val="00E5324C"/>
    <w:rsid w:val="00E65A2E"/>
    <w:rsid w:val="00E71FCF"/>
    <w:rsid w:val="00ED4364"/>
    <w:rsid w:val="00EF3C81"/>
    <w:rsid w:val="00EF4165"/>
    <w:rsid w:val="00F761C7"/>
    <w:rsid w:val="00F8179B"/>
    <w:rsid w:val="00FC5713"/>
    <w:rsid w:val="036EA9B3"/>
    <w:rsid w:val="04211179"/>
    <w:rsid w:val="168EFC76"/>
    <w:rsid w:val="1E1B1E12"/>
    <w:rsid w:val="22F14233"/>
    <w:rsid w:val="2F318A3E"/>
    <w:rsid w:val="2F4591DD"/>
    <w:rsid w:val="32A90ECA"/>
    <w:rsid w:val="3AF15F9A"/>
    <w:rsid w:val="3B52D5E9"/>
    <w:rsid w:val="4055D9C8"/>
    <w:rsid w:val="41C99379"/>
    <w:rsid w:val="4B4AF98E"/>
    <w:rsid w:val="4CE6E23D"/>
    <w:rsid w:val="4F9089A8"/>
    <w:rsid w:val="5306B694"/>
    <w:rsid w:val="671198DB"/>
    <w:rsid w:val="6A76A7CF"/>
    <w:rsid w:val="6FE3B2B0"/>
    <w:rsid w:val="729828F2"/>
    <w:rsid w:val="78459BDC"/>
    <w:rsid w:val="78B1CBDB"/>
    <w:rsid w:val="7B38AC75"/>
    <w:rsid w:val="7CC3A59F"/>
    <w:rsid w:val="7F61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8B2EE"/>
  <w15:chartTrackingRefBased/>
  <w15:docId w15:val="{C7F9EDCB-1D36-4D26-9843-A3A24EE0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5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5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5373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5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5373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5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5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5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5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5373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537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5373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5373F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5373F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537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537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537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537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5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5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5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5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5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537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537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5373F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5373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5373F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5373F"/>
    <w:rPr>
      <w:b/>
      <w:bCs/>
      <w:smallCaps/>
      <w:color w:val="2E74B5" w:themeColor="accent1" w:themeShade="BF"/>
      <w:spacing w:val="5"/>
    </w:rPr>
  </w:style>
  <w:style w:type="paragraph" w:styleId="Rvision">
    <w:name w:val="Revision"/>
    <w:hidden/>
    <w:uiPriority w:val="99"/>
    <w:semiHidden/>
    <w:rsid w:val="00640CEC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06A6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06A6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06A6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06A6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06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B40081AF75459124F69EFD41698A" ma:contentTypeVersion="13" ma:contentTypeDescription="Crée un document." ma:contentTypeScope="" ma:versionID="50cd1cb1ebf3e0178a3bbf80eba199ee">
  <xsd:schema xmlns:xsd="http://www.w3.org/2001/XMLSchema" xmlns:xs="http://www.w3.org/2001/XMLSchema" xmlns:p="http://schemas.microsoft.com/office/2006/metadata/properties" xmlns:ns2="644d2b04-0262-46c8-ba6e-3d9657863107" xmlns:ns3="31bc4aea-4626-45f6-a57d-fbc34b910f76" targetNamespace="http://schemas.microsoft.com/office/2006/metadata/properties" ma:root="true" ma:fieldsID="f9ddc3321778d27680cceb64ce81ca06" ns2:_="" ns3:_="">
    <xsd:import namespace="644d2b04-0262-46c8-ba6e-3d9657863107"/>
    <xsd:import namespace="31bc4aea-4626-45f6-a57d-fbc34b910f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d2b04-0262-46c8-ba6e-3d96578631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c4aea-4626-45f6-a57d-fbc34b910f7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c92537-d80b-40e1-854a-93b9c500b827}" ma:internalName="TaxCatchAll" ma:showField="CatchAllData" ma:web="31bc4aea-4626-45f6-a57d-fbc34b910f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d2b04-0262-46c8-ba6e-3d9657863107">
      <Terms xmlns="http://schemas.microsoft.com/office/infopath/2007/PartnerControls"/>
    </lcf76f155ced4ddcb4097134ff3c332f>
    <TaxCatchAll xmlns="31bc4aea-4626-45f6-a57d-fbc34b910f76" xsi:nil="true"/>
  </documentManagement>
</p:properties>
</file>

<file path=customXml/itemProps1.xml><?xml version="1.0" encoding="utf-8"?>
<ds:datastoreItem xmlns:ds="http://schemas.openxmlformats.org/officeDocument/2006/customXml" ds:itemID="{2D0016D5-7C61-4C47-884C-62181FC4D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d2b04-0262-46c8-ba6e-3d9657863107"/>
    <ds:schemaRef ds:uri="31bc4aea-4626-45f6-a57d-fbc34b910f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BE46C8-610C-4622-B5EA-C62EBAAFB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16375-EC54-4FCF-952A-330E9F75B3A7}">
  <ds:schemaRefs>
    <ds:schemaRef ds:uri="http://schemas.microsoft.com/office/2006/metadata/properties"/>
    <ds:schemaRef ds:uri="http://schemas.microsoft.com/office/infopath/2007/PartnerControls"/>
    <ds:schemaRef ds:uri="644d2b04-0262-46c8-ba6e-3d9657863107"/>
    <ds:schemaRef ds:uri="31bc4aea-4626-45f6-a57d-fbc34b910f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Pittet</dc:creator>
  <cp:keywords/>
  <dc:description/>
  <cp:lastModifiedBy>Christine Pittet</cp:lastModifiedBy>
  <cp:revision>33</cp:revision>
  <cp:lastPrinted>2026-02-13T14:57:00Z</cp:lastPrinted>
  <dcterms:created xsi:type="dcterms:W3CDTF">2026-02-05T13:31:00Z</dcterms:created>
  <dcterms:modified xsi:type="dcterms:W3CDTF">2026-02-13T14:57:00Z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0x010100DDDAB40081AF75459124F69EFD41698A</vt:lpwstr>
  </property>
  <property fmtid="{D5CDD505-2E9C-101B-9397-08002B2CF9AE}" pid="3" name="MediaServiceImageTags">
    <vt:lpwstr/>
  </property>
</Properties>
</file>